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D408E" w14:textId="77777777" w:rsidR="004C25E0" w:rsidRPr="00A716D9" w:rsidRDefault="004C25E0" w:rsidP="004C25E0">
      <w:pPr>
        <w:pStyle w:val="Titre1"/>
        <w:spacing w:line="240" w:lineRule="auto"/>
        <w:jc w:val="both"/>
        <w:rPr>
          <w:rFonts w:asciiTheme="minorHAnsi" w:hAnsiTheme="minorHAnsi" w:cstheme="minorHAnsi"/>
          <w:sz w:val="32"/>
          <w:szCs w:val="32"/>
        </w:rPr>
      </w:pPr>
      <w:r w:rsidRPr="00A716D9">
        <w:rPr>
          <w:rFonts w:asciiTheme="minorHAnsi" w:hAnsiTheme="minorHAnsi" w:cstheme="minorHAnsi"/>
          <w:sz w:val="32"/>
          <w:szCs w:val="32"/>
        </w:rPr>
        <w:t xml:space="preserve">ANNEXE 1 – RECONNAÎTRE LE HARCÈLEMENT PSYCHOLOGIQUE OU SEXUEL </w:t>
      </w:r>
    </w:p>
    <w:p w14:paraId="05326553" w14:textId="77777777" w:rsidR="004C25E0" w:rsidRPr="00A716D9" w:rsidRDefault="004C25E0" w:rsidP="004C25E0">
      <w:pPr>
        <w:spacing w:after="0" w:line="240" w:lineRule="auto"/>
        <w:jc w:val="both"/>
        <w:rPr>
          <w:rFonts w:eastAsia="Manrope" w:cstheme="minorHAnsi"/>
          <w:sz w:val="24"/>
          <w:szCs w:val="24"/>
        </w:rPr>
      </w:pPr>
    </w:p>
    <w:p w14:paraId="7965DD8B" w14:textId="77777777" w:rsidR="004C25E0" w:rsidRPr="00A716D9" w:rsidRDefault="004C25E0" w:rsidP="004C25E0">
      <w:pPr>
        <w:spacing w:after="0" w:line="240" w:lineRule="auto"/>
        <w:jc w:val="both"/>
        <w:rPr>
          <w:rFonts w:eastAsia="Manrope" w:cstheme="minorHAnsi"/>
          <w:sz w:val="24"/>
          <w:szCs w:val="24"/>
        </w:rPr>
      </w:pPr>
      <w:r w:rsidRPr="00A716D9">
        <w:rPr>
          <w:rFonts w:eastAsia="Manrope" w:cstheme="minorHAnsi"/>
          <w:sz w:val="24"/>
          <w:szCs w:val="24"/>
        </w:rPr>
        <w:t>La Loi sur les normes du travail donne des critères pour déterminer ce qui peut être considéré comme du harcèlement psychologique ou sexuel soit :</w:t>
      </w:r>
    </w:p>
    <w:p w14:paraId="53F106C5" w14:textId="77777777" w:rsidR="004C25E0" w:rsidRPr="00A716D9" w:rsidRDefault="004C25E0" w:rsidP="004C25E0">
      <w:pPr>
        <w:numPr>
          <w:ilvl w:val="0"/>
          <w:numId w:val="3"/>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une</w:t>
      </w:r>
      <w:proofErr w:type="gramEnd"/>
      <w:r w:rsidRPr="00A716D9">
        <w:rPr>
          <w:rFonts w:eastAsia="Manrope" w:cstheme="minorHAnsi"/>
          <w:color w:val="000000"/>
          <w:sz w:val="24"/>
          <w:szCs w:val="24"/>
        </w:rPr>
        <w:t xml:space="preserve"> conduite vexatoire (blessante, humiliante); </w:t>
      </w:r>
    </w:p>
    <w:p w14:paraId="609D9559" w14:textId="77777777" w:rsidR="004C25E0" w:rsidRPr="00A716D9" w:rsidRDefault="004C25E0" w:rsidP="004C25E0">
      <w:pPr>
        <w:numPr>
          <w:ilvl w:val="0"/>
          <w:numId w:val="3"/>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qui</w:t>
      </w:r>
      <w:proofErr w:type="gramEnd"/>
      <w:r w:rsidRPr="00A716D9">
        <w:rPr>
          <w:rFonts w:eastAsia="Manrope" w:cstheme="minorHAnsi"/>
          <w:color w:val="000000"/>
          <w:sz w:val="24"/>
          <w:szCs w:val="24"/>
        </w:rPr>
        <w:t xml:space="preserve"> se manifeste de façon répétitive ou lors d’un acte unique et grave; </w:t>
      </w:r>
    </w:p>
    <w:p w14:paraId="187752BF" w14:textId="77777777" w:rsidR="004C25E0" w:rsidRPr="00A716D9" w:rsidRDefault="004C25E0" w:rsidP="004C25E0">
      <w:pPr>
        <w:numPr>
          <w:ilvl w:val="0"/>
          <w:numId w:val="3"/>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de</w:t>
      </w:r>
      <w:proofErr w:type="gramEnd"/>
      <w:r w:rsidRPr="00A716D9">
        <w:rPr>
          <w:rFonts w:eastAsia="Manrope" w:cstheme="minorHAnsi"/>
          <w:color w:val="000000"/>
          <w:sz w:val="24"/>
          <w:szCs w:val="24"/>
        </w:rPr>
        <w:t xml:space="preserve"> manière hostile (agressive, menaçante) ou non désirée;</w:t>
      </w:r>
    </w:p>
    <w:p w14:paraId="34AE33F1" w14:textId="77777777" w:rsidR="004C25E0" w:rsidRPr="00A716D9" w:rsidRDefault="004C25E0" w:rsidP="004C25E0">
      <w:pPr>
        <w:numPr>
          <w:ilvl w:val="0"/>
          <w:numId w:val="3"/>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portant</w:t>
      </w:r>
      <w:proofErr w:type="gramEnd"/>
      <w:r w:rsidRPr="00A716D9">
        <w:rPr>
          <w:rFonts w:eastAsia="Manrope" w:cstheme="minorHAnsi"/>
          <w:color w:val="000000"/>
          <w:sz w:val="24"/>
          <w:szCs w:val="24"/>
        </w:rPr>
        <w:t xml:space="preserve"> atteinte à la dignité ou à l'intégrité de la personne;</w:t>
      </w:r>
    </w:p>
    <w:p w14:paraId="1A0B7421" w14:textId="77777777" w:rsidR="004C25E0" w:rsidRPr="00A716D9" w:rsidRDefault="004C25E0" w:rsidP="004C25E0">
      <w:pPr>
        <w:numPr>
          <w:ilvl w:val="0"/>
          <w:numId w:val="3"/>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entraînant</w:t>
      </w:r>
      <w:proofErr w:type="gramEnd"/>
      <w:r w:rsidRPr="00A716D9">
        <w:rPr>
          <w:rFonts w:eastAsia="Manrope" w:cstheme="minorHAnsi"/>
          <w:color w:val="000000"/>
          <w:sz w:val="24"/>
          <w:szCs w:val="24"/>
        </w:rPr>
        <w:t>, pour celle-ci, un milieu de travail néfaste (nocif, nuisible).</w:t>
      </w:r>
    </w:p>
    <w:p w14:paraId="4472C5B8" w14:textId="77777777" w:rsidR="004C25E0" w:rsidRPr="00A716D9" w:rsidRDefault="004C25E0" w:rsidP="004C25E0">
      <w:pPr>
        <w:spacing w:line="240" w:lineRule="auto"/>
        <w:jc w:val="both"/>
        <w:rPr>
          <w:rFonts w:eastAsia="Manrope" w:cstheme="minorHAnsi"/>
          <w:sz w:val="24"/>
          <w:szCs w:val="24"/>
        </w:rPr>
      </w:pPr>
    </w:p>
    <w:p w14:paraId="0217F25F" w14:textId="77777777" w:rsidR="004C25E0" w:rsidRPr="00A716D9" w:rsidRDefault="004C25E0" w:rsidP="004C25E0">
      <w:pPr>
        <w:spacing w:line="240" w:lineRule="auto"/>
        <w:jc w:val="both"/>
        <w:rPr>
          <w:rFonts w:eastAsia="Manrope" w:cstheme="minorHAnsi"/>
          <w:sz w:val="24"/>
          <w:szCs w:val="24"/>
        </w:rPr>
      </w:pPr>
      <w:r w:rsidRPr="00A716D9">
        <w:rPr>
          <w:rFonts w:eastAsia="Manrope" w:cstheme="minorHAnsi"/>
          <w:sz w:val="24"/>
          <w:szCs w:val="24"/>
        </w:rPr>
        <w:t xml:space="preserve">Ces conditions incluent les paroles, les actes ou les gestes à caractère sexuel. </w:t>
      </w:r>
    </w:p>
    <w:p w14:paraId="6BB9E7C6" w14:textId="77777777" w:rsidR="004C25E0" w:rsidRPr="00A716D9" w:rsidRDefault="004C25E0" w:rsidP="004C25E0">
      <w:pPr>
        <w:spacing w:line="240" w:lineRule="auto"/>
        <w:jc w:val="both"/>
        <w:rPr>
          <w:rFonts w:eastAsia="Manrope" w:cstheme="minorHAnsi"/>
          <w:sz w:val="24"/>
          <w:szCs w:val="24"/>
        </w:rPr>
      </w:pPr>
      <w:r w:rsidRPr="00A716D9">
        <w:rPr>
          <w:rFonts w:eastAsia="Manrope" w:cstheme="minorHAnsi"/>
          <w:sz w:val="24"/>
          <w:szCs w:val="24"/>
        </w:rPr>
        <w:t xml:space="preserve">La discrimination fondée sur l’un ou l’autre des motifs énumérés dans l’article 10 de la </w:t>
      </w:r>
      <w:r w:rsidRPr="007F6881">
        <w:rPr>
          <w:rFonts w:eastAsia="Manrope" w:cstheme="minorHAnsi"/>
          <w:i/>
          <w:sz w:val="24"/>
          <w:szCs w:val="24"/>
        </w:rPr>
        <w:t>Charte des droits et libertés de la personne</w:t>
      </w:r>
      <w:r w:rsidRPr="00A716D9">
        <w:rPr>
          <w:rFonts w:eastAsia="Manrope" w:cstheme="minorHAnsi"/>
          <w:sz w:val="24"/>
          <w:szCs w:val="24"/>
        </w:rPr>
        <w:t xml:space="preserve"> peut aussi constituer du harcèlement</w:t>
      </w:r>
      <w:r>
        <w:rPr>
          <w:rFonts w:eastAsia="Manrope" w:cstheme="minorHAnsi"/>
          <w:sz w:val="24"/>
          <w:szCs w:val="24"/>
        </w:rPr>
        <w:t xml:space="preserve"> </w:t>
      </w:r>
      <w:r w:rsidRPr="00A716D9">
        <w:rPr>
          <w:rFonts w:eastAsia="Manrope" w:cstheme="minorHAnsi"/>
          <w:sz w:val="24"/>
          <w:szCs w:val="24"/>
        </w:rPr>
        <w:t>: la race, la couleur, le sexe, la grossesse, l’orientation sexuelle, l’état civil, l’âge sauf dans la mesure prévue par la loi, la religion, les convictions politiques, la langue, l’origine ethnique ou nationale, la condition sociale, le handicap ou l’utilisation d’un moyen pour pallier ce handicap.</w:t>
      </w:r>
    </w:p>
    <w:p w14:paraId="55FD78CA" w14:textId="77777777" w:rsidR="004C25E0" w:rsidRPr="00A716D9" w:rsidRDefault="004C25E0" w:rsidP="004C25E0">
      <w:pPr>
        <w:spacing w:line="240" w:lineRule="auto"/>
        <w:jc w:val="both"/>
        <w:rPr>
          <w:rFonts w:eastAsia="Manrope" w:cstheme="minorHAnsi"/>
          <w:sz w:val="24"/>
          <w:szCs w:val="24"/>
        </w:rPr>
      </w:pPr>
      <w:r w:rsidRPr="00A716D9">
        <w:rPr>
          <w:rFonts w:eastAsia="Manrope" w:cstheme="minorHAnsi"/>
          <w:sz w:val="24"/>
          <w:szCs w:val="24"/>
        </w:rPr>
        <w:t>À titre d’exemple, les comportements qui suivent pourraient être considérés comme étant des conduites vexatoires constituant du harcèlement s’ils correspondent à tous les critères de la loi.</w:t>
      </w:r>
    </w:p>
    <w:p w14:paraId="780FB07A" w14:textId="77777777" w:rsidR="004C25E0" w:rsidRPr="00A716D9" w:rsidRDefault="004C25E0" w:rsidP="004C25E0">
      <w:pPr>
        <w:spacing w:line="240" w:lineRule="auto"/>
        <w:jc w:val="both"/>
        <w:rPr>
          <w:rFonts w:eastAsia="Manrope" w:cstheme="minorHAnsi"/>
          <w:sz w:val="24"/>
          <w:szCs w:val="24"/>
        </w:rPr>
      </w:pPr>
      <w:r w:rsidRPr="00A716D9">
        <w:rPr>
          <w:rFonts w:eastAsia="Manrope" w:cstheme="minorHAnsi"/>
          <w:sz w:val="24"/>
          <w:szCs w:val="24"/>
        </w:rPr>
        <w:t>Comportements pouvant être liés à du harcèlement psychologique</w:t>
      </w:r>
      <w:r>
        <w:rPr>
          <w:rFonts w:eastAsia="Manrope" w:cstheme="minorHAnsi"/>
          <w:sz w:val="24"/>
          <w:szCs w:val="24"/>
        </w:rPr>
        <w:t> :</w:t>
      </w:r>
    </w:p>
    <w:p w14:paraId="0CF22306" w14:textId="77777777" w:rsidR="004C25E0" w:rsidRPr="00A716D9" w:rsidRDefault="004C25E0" w:rsidP="004C25E0">
      <w:pPr>
        <w:numPr>
          <w:ilvl w:val="0"/>
          <w:numId w:val="4"/>
        </w:numPr>
        <w:pBdr>
          <w:top w:val="nil"/>
          <w:left w:val="nil"/>
          <w:bottom w:val="nil"/>
          <w:right w:val="nil"/>
          <w:between w:val="nil"/>
        </w:pBdr>
        <w:spacing w:after="0" w:line="240" w:lineRule="auto"/>
        <w:rPr>
          <w:rFonts w:eastAsia="Manrope" w:cstheme="minorHAnsi"/>
          <w:color w:val="000000"/>
          <w:sz w:val="24"/>
          <w:szCs w:val="24"/>
        </w:rPr>
      </w:pPr>
      <w:r w:rsidRPr="00A716D9">
        <w:rPr>
          <w:rFonts w:eastAsia="Manrope" w:cstheme="minorHAnsi"/>
          <w:sz w:val="24"/>
          <w:szCs w:val="24"/>
        </w:rPr>
        <w:t>I</w:t>
      </w:r>
      <w:r w:rsidRPr="00A716D9">
        <w:rPr>
          <w:rFonts w:eastAsia="Manrope" w:cstheme="minorHAnsi"/>
          <w:color w:val="000000"/>
          <w:sz w:val="24"/>
          <w:szCs w:val="24"/>
        </w:rPr>
        <w:t xml:space="preserve">ntimidation, </w:t>
      </w:r>
      <w:proofErr w:type="spellStart"/>
      <w:r w:rsidRPr="00A716D9">
        <w:rPr>
          <w:rFonts w:eastAsia="Manrope" w:cstheme="minorHAnsi"/>
          <w:color w:val="000000"/>
          <w:sz w:val="24"/>
          <w:szCs w:val="24"/>
        </w:rPr>
        <w:t>cyberintimidation</w:t>
      </w:r>
      <w:proofErr w:type="spellEnd"/>
      <w:r w:rsidRPr="00A716D9">
        <w:rPr>
          <w:rFonts w:eastAsia="Manrope" w:cstheme="minorHAnsi"/>
          <w:color w:val="000000"/>
          <w:sz w:val="24"/>
          <w:szCs w:val="24"/>
        </w:rPr>
        <w:t>, menaces, isolement;</w:t>
      </w:r>
    </w:p>
    <w:p w14:paraId="40364378" w14:textId="77777777" w:rsidR="004C25E0" w:rsidRPr="00A716D9" w:rsidRDefault="004C25E0" w:rsidP="004C25E0">
      <w:pPr>
        <w:numPr>
          <w:ilvl w:val="0"/>
          <w:numId w:val="4"/>
        </w:numPr>
        <w:pBdr>
          <w:top w:val="nil"/>
          <w:left w:val="nil"/>
          <w:bottom w:val="nil"/>
          <w:right w:val="nil"/>
          <w:between w:val="nil"/>
        </w:pBdr>
        <w:spacing w:after="0" w:line="240" w:lineRule="auto"/>
        <w:rPr>
          <w:rFonts w:eastAsia="Manrope" w:cstheme="minorHAnsi"/>
          <w:color w:val="000000"/>
          <w:sz w:val="24"/>
          <w:szCs w:val="24"/>
        </w:rPr>
      </w:pPr>
      <w:r w:rsidRPr="00A716D9">
        <w:rPr>
          <w:rFonts w:eastAsia="Manrope" w:cstheme="minorHAnsi"/>
          <w:color w:val="000000"/>
          <w:sz w:val="24"/>
          <w:szCs w:val="24"/>
        </w:rPr>
        <w:t>Propos ou gestes offensants ou diffamatoires à l’égard d’une personne ou de son travail;</w:t>
      </w:r>
    </w:p>
    <w:p w14:paraId="7CC72576" w14:textId="77777777" w:rsidR="004C25E0" w:rsidRPr="00A716D9" w:rsidRDefault="004C25E0" w:rsidP="004C25E0">
      <w:pPr>
        <w:numPr>
          <w:ilvl w:val="0"/>
          <w:numId w:val="4"/>
        </w:numPr>
        <w:pBdr>
          <w:top w:val="nil"/>
          <w:left w:val="nil"/>
          <w:bottom w:val="nil"/>
          <w:right w:val="nil"/>
          <w:between w:val="nil"/>
        </w:pBdr>
        <w:spacing w:after="0" w:line="240" w:lineRule="auto"/>
        <w:rPr>
          <w:rFonts w:eastAsia="Manrope" w:cstheme="minorHAnsi"/>
          <w:color w:val="000000"/>
          <w:sz w:val="24"/>
          <w:szCs w:val="24"/>
        </w:rPr>
      </w:pPr>
      <w:r w:rsidRPr="00A716D9">
        <w:rPr>
          <w:rFonts w:eastAsia="Manrope" w:cstheme="minorHAnsi"/>
          <w:color w:val="000000"/>
          <w:sz w:val="24"/>
          <w:szCs w:val="24"/>
        </w:rPr>
        <w:t>Violence verbale;</w:t>
      </w:r>
    </w:p>
    <w:p w14:paraId="7EF51C05" w14:textId="77777777" w:rsidR="004C25E0" w:rsidRPr="00A716D9" w:rsidRDefault="004C25E0" w:rsidP="004C25E0">
      <w:pPr>
        <w:numPr>
          <w:ilvl w:val="0"/>
          <w:numId w:val="4"/>
        </w:numPr>
        <w:pBdr>
          <w:top w:val="nil"/>
          <w:left w:val="nil"/>
          <w:bottom w:val="nil"/>
          <w:right w:val="nil"/>
          <w:between w:val="nil"/>
        </w:pBdr>
        <w:spacing w:after="0" w:line="240" w:lineRule="auto"/>
        <w:rPr>
          <w:rFonts w:eastAsia="Manrope" w:cstheme="minorHAnsi"/>
          <w:color w:val="000000"/>
          <w:sz w:val="24"/>
          <w:szCs w:val="24"/>
        </w:rPr>
      </w:pPr>
      <w:r w:rsidRPr="00A716D9">
        <w:rPr>
          <w:rFonts w:eastAsia="Manrope" w:cstheme="minorHAnsi"/>
          <w:color w:val="000000"/>
          <w:sz w:val="24"/>
          <w:szCs w:val="24"/>
        </w:rPr>
        <w:t>Dénigrement.</w:t>
      </w:r>
    </w:p>
    <w:p w14:paraId="1C40EB46" w14:textId="77777777" w:rsidR="004C25E0" w:rsidRPr="00A716D9" w:rsidRDefault="004C25E0" w:rsidP="004C25E0">
      <w:pPr>
        <w:spacing w:after="0" w:line="240" w:lineRule="auto"/>
        <w:jc w:val="both"/>
        <w:rPr>
          <w:rFonts w:eastAsia="Manrope" w:cstheme="minorHAnsi"/>
          <w:sz w:val="24"/>
          <w:szCs w:val="24"/>
        </w:rPr>
      </w:pPr>
    </w:p>
    <w:p w14:paraId="018E8EDC" w14:textId="77777777" w:rsidR="004C25E0" w:rsidRPr="00A716D9" w:rsidRDefault="004C25E0" w:rsidP="004C25E0">
      <w:pPr>
        <w:spacing w:line="240" w:lineRule="auto"/>
        <w:jc w:val="both"/>
        <w:rPr>
          <w:rFonts w:eastAsia="Manrope" w:cstheme="minorHAnsi"/>
          <w:sz w:val="24"/>
          <w:szCs w:val="24"/>
        </w:rPr>
      </w:pPr>
      <w:r w:rsidRPr="00A716D9">
        <w:rPr>
          <w:rFonts w:eastAsia="Manrope" w:cstheme="minorHAnsi"/>
          <w:sz w:val="24"/>
          <w:szCs w:val="24"/>
        </w:rPr>
        <w:t>Comportements pouvant être liés à du harcèlement sexuel</w:t>
      </w:r>
      <w:r>
        <w:rPr>
          <w:rFonts w:eastAsia="Manrope" w:cstheme="minorHAnsi"/>
          <w:sz w:val="24"/>
          <w:szCs w:val="24"/>
        </w:rPr>
        <w:t> :</w:t>
      </w:r>
    </w:p>
    <w:p w14:paraId="550B4AC3" w14:textId="77777777" w:rsidR="004C25E0" w:rsidRPr="00A716D9" w:rsidRDefault="004C25E0" w:rsidP="004C25E0">
      <w:pPr>
        <w:numPr>
          <w:ilvl w:val="0"/>
          <w:numId w:val="2"/>
        </w:numPr>
        <w:pBdr>
          <w:top w:val="nil"/>
          <w:left w:val="nil"/>
          <w:bottom w:val="nil"/>
          <w:right w:val="nil"/>
          <w:between w:val="nil"/>
        </w:pBdr>
        <w:spacing w:after="0" w:line="240" w:lineRule="auto"/>
        <w:rPr>
          <w:rFonts w:eastAsia="Manrope" w:cstheme="minorHAnsi"/>
          <w:color w:val="000000"/>
          <w:sz w:val="24"/>
          <w:szCs w:val="24"/>
        </w:rPr>
      </w:pPr>
      <w:r w:rsidRPr="00A716D9">
        <w:rPr>
          <w:rFonts w:eastAsia="Manrope" w:cstheme="minorHAnsi"/>
          <w:color w:val="000000"/>
          <w:sz w:val="24"/>
          <w:szCs w:val="24"/>
        </w:rPr>
        <w:t xml:space="preserve">Toute forme d’attention ou d’avance non désirée à connotation sexuelle, par exemple : </w:t>
      </w:r>
    </w:p>
    <w:p w14:paraId="2D400790" w14:textId="77777777" w:rsidR="004C25E0" w:rsidRPr="00A716D9" w:rsidRDefault="004C25E0" w:rsidP="004C25E0">
      <w:pPr>
        <w:numPr>
          <w:ilvl w:val="1"/>
          <w:numId w:val="1"/>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sollicitation</w:t>
      </w:r>
      <w:r>
        <w:rPr>
          <w:rFonts w:eastAsia="Manrope" w:cstheme="minorHAnsi"/>
          <w:color w:val="000000"/>
          <w:sz w:val="24"/>
          <w:szCs w:val="24"/>
        </w:rPr>
        <w:t>s</w:t>
      </w:r>
      <w:proofErr w:type="gramEnd"/>
      <w:r w:rsidRPr="00A716D9">
        <w:rPr>
          <w:rFonts w:eastAsia="Manrope" w:cstheme="minorHAnsi"/>
          <w:color w:val="000000"/>
          <w:sz w:val="24"/>
          <w:szCs w:val="24"/>
        </w:rPr>
        <w:t xml:space="preserve"> insistante</w:t>
      </w:r>
      <w:r>
        <w:rPr>
          <w:rFonts w:eastAsia="Manrope" w:cstheme="minorHAnsi"/>
          <w:color w:val="000000"/>
          <w:sz w:val="24"/>
          <w:szCs w:val="24"/>
        </w:rPr>
        <w:t>s</w:t>
      </w:r>
      <w:r w:rsidRPr="00A716D9">
        <w:rPr>
          <w:rFonts w:eastAsia="Manrope" w:cstheme="minorHAnsi"/>
          <w:color w:val="000000"/>
          <w:sz w:val="24"/>
          <w:szCs w:val="24"/>
        </w:rPr>
        <w:t xml:space="preserve">, </w:t>
      </w:r>
    </w:p>
    <w:p w14:paraId="0C6EF3C3" w14:textId="77777777" w:rsidR="004C25E0" w:rsidRPr="00A716D9" w:rsidRDefault="004C25E0" w:rsidP="004C25E0">
      <w:pPr>
        <w:numPr>
          <w:ilvl w:val="1"/>
          <w:numId w:val="1"/>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regards</w:t>
      </w:r>
      <w:proofErr w:type="gramEnd"/>
      <w:r w:rsidRPr="00A716D9">
        <w:rPr>
          <w:rFonts w:eastAsia="Manrope" w:cstheme="minorHAnsi"/>
          <w:color w:val="000000"/>
          <w:sz w:val="24"/>
          <w:szCs w:val="24"/>
        </w:rPr>
        <w:t xml:space="preserve">, baisers ou attouchements, </w:t>
      </w:r>
    </w:p>
    <w:p w14:paraId="178A2827" w14:textId="77777777" w:rsidR="004C25E0" w:rsidRPr="00A716D9" w:rsidRDefault="004C25E0" w:rsidP="004C25E0">
      <w:pPr>
        <w:numPr>
          <w:ilvl w:val="1"/>
          <w:numId w:val="1"/>
        </w:numPr>
        <w:pBdr>
          <w:top w:val="nil"/>
          <w:left w:val="nil"/>
          <w:bottom w:val="nil"/>
          <w:right w:val="nil"/>
          <w:between w:val="nil"/>
        </w:pBdr>
        <w:spacing w:after="0" w:line="240" w:lineRule="auto"/>
        <w:rPr>
          <w:rFonts w:eastAsia="Manrope" w:cstheme="minorHAnsi"/>
          <w:color w:val="000000"/>
          <w:sz w:val="24"/>
          <w:szCs w:val="24"/>
        </w:rPr>
      </w:pPr>
      <w:proofErr w:type="gramStart"/>
      <w:r w:rsidRPr="00A716D9">
        <w:rPr>
          <w:rFonts w:eastAsia="Manrope" w:cstheme="minorHAnsi"/>
          <w:color w:val="000000"/>
          <w:sz w:val="24"/>
          <w:szCs w:val="24"/>
        </w:rPr>
        <w:t>insultes</w:t>
      </w:r>
      <w:proofErr w:type="gramEnd"/>
      <w:r w:rsidRPr="00A716D9">
        <w:rPr>
          <w:rFonts w:eastAsia="Manrope" w:cstheme="minorHAnsi"/>
          <w:color w:val="000000"/>
          <w:sz w:val="24"/>
          <w:szCs w:val="24"/>
        </w:rPr>
        <w:t xml:space="preserve"> sexistes, propos grossiers</w:t>
      </w:r>
      <w:r>
        <w:rPr>
          <w:rFonts w:eastAsia="Manrope" w:cstheme="minorHAnsi"/>
          <w:color w:val="000000"/>
          <w:sz w:val="24"/>
          <w:szCs w:val="24"/>
        </w:rPr>
        <w:t>.</w:t>
      </w:r>
    </w:p>
    <w:p w14:paraId="2A332F5E" w14:textId="77777777" w:rsidR="004C25E0" w:rsidRPr="00A716D9" w:rsidRDefault="004C25E0" w:rsidP="004C25E0">
      <w:pPr>
        <w:pBdr>
          <w:top w:val="nil"/>
          <w:left w:val="nil"/>
          <w:bottom w:val="nil"/>
          <w:right w:val="nil"/>
          <w:between w:val="nil"/>
        </w:pBdr>
        <w:spacing w:line="240" w:lineRule="auto"/>
        <w:ind w:left="1440"/>
        <w:rPr>
          <w:rFonts w:eastAsia="Manrope" w:cstheme="minorHAnsi"/>
          <w:color w:val="000000"/>
          <w:sz w:val="24"/>
          <w:szCs w:val="24"/>
        </w:rPr>
      </w:pPr>
    </w:p>
    <w:p w14:paraId="08AD02C4" w14:textId="77777777" w:rsidR="004C25E0" w:rsidRPr="00A716D9" w:rsidRDefault="004C25E0" w:rsidP="004C25E0">
      <w:pPr>
        <w:numPr>
          <w:ilvl w:val="0"/>
          <w:numId w:val="2"/>
        </w:numPr>
        <w:pBdr>
          <w:top w:val="nil"/>
          <w:left w:val="nil"/>
          <w:bottom w:val="nil"/>
          <w:right w:val="nil"/>
          <w:between w:val="nil"/>
        </w:pBdr>
        <w:spacing w:after="0" w:line="240" w:lineRule="auto"/>
        <w:rPr>
          <w:rFonts w:eastAsia="Manrope" w:cstheme="minorHAnsi"/>
          <w:color w:val="000000"/>
          <w:sz w:val="24"/>
          <w:szCs w:val="24"/>
        </w:rPr>
      </w:pPr>
      <w:r w:rsidRPr="00A716D9">
        <w:rPr>
          <w:rFonts w:eastAsia="Manrope" w:cstheme="minorHAnsi"/>
          <w:color w:val="000000"/>
          <w:sz w:val="24"/>
          <w:szCs w:val="24"/>
        </w:rPr>
        <w:t>Propos, blagues ou images à connotation sexuelle par tout moyen, technologique ou autres.</w:t>
      </w:r>
    </w:p>
    <w:p w14:paraId="704FD5F8" w14:textId="77777777" w:rsidR="004C25E0" w:rsidRDefault="004C25E0" w:rsidP="004C25E0">
      <w:pPr>
        <w:pBdr>
          <w:top w:val="nil"/>
          <w:left w:val="nil"/>
          <w:bottom w:val="nil"/>
          <w:right w:val="nil"/>
          <w:between w:val="nil"/>
        </w:pBdr>
        <w:spacing w:after="0" w:line="240" w:lineRule="auto"/>
        <w:ind w:left="360"/>
        <w:rPr>
          <w:rFonts w:eastAsia="Manrope" w:cstheme="minorHAnsi"/>
          <w:color w:val="000000"/>
          <w:sz w:val="24"/>
          <w:szCs w:val="24"/>
        </w:rPr>
      </w:pPr>
    </w:p>
    <w:p w14:paraId="581DF5D1" w14:textId="012A44CE" w:rsidR="004C25E0" w:rsidRDefault="004C25E0" w:rsidP="004C25E0">
      <w:pPr>
        <w:pBdr>
          <w:top w:val="nil"/>
          <w:left w:val="nil"/>
          <w:bottom w:val="nil"/>
          <w:right w:val="nil"/>
          <w:between w:val="nil"/>
        </w:pBdr>
        <w:spacing w:after="0" w:line="240" w:lineRule="auto"/>
        <w:ind w:left="360"/>
        <w:rPr>
          <w:rFonts w:eastAsia="Manrope" w:cstheme="minorHAnsi"/>
          <w:color w:val="000000"/>
          <w:sz w:val="24"/>
          <w:szCs w:val="24"/>
        </w:rPr>
      </w:pPr>
    </w:p>
    <w:p w14:paraId="4D9E30BB" w14:textId="48C061FB" w:rsidR="004C25E0" w:rsidRDefault="004C25E0" w:rsidP="004C25E0">
      <w:pPr>
        <w:pBdr>
          <w:top w:val="nil"/>
          <w:left w:val="nil"/>
          <w:bottom w:val="nil"/>
          <w:right w:val="nil"/>
          <w:between w:val="nil"/>
        </w:pBdr>
        <w:spacing w:after="0" w:line="240" w:lineRule="auto"/>
        <w:ind w:left="360"/>
        <w:rPr>
          <w:rFonts w:eastAsia="Manrope" w:cstheme="minorHAnsi"/>
          <w:color w:val="000000"/>
          <w:sz w:val="24"/>
          <w:szCs w:val="24"/>
        </w:rPr>
      </w:pPr>
    </w:p>
    <w:p w14:paraId="177BBCA4" w14:textId="0100ACFC" w:rsidR="004C25E0" w:rsidRDefault="004C25E0" w:rsidP="004C25E0">
      <w:pPr>
        <w:pBdr>
          <w:top w:val="nil"/>
          <w:left w:val="nil"/>
          <w:bottom w:val="nil"/>
          <w:right w:val="nil"/>
          <w:between w:val="nil"/>
        </w:pBdr>
        <w:spacing w:after="0" w:line="240" w:lineRule="auto"/>
        <w:ind w:left="360"/>
        <w:rPr>
          <w:rFonts w:eastAsia="Manrope" w:cstheme="minorHAnsi"/>
          <w:color w:val="000000"/>
          <w:sz w:val="24"/>
          <w:szCs w:val="24"/>
        </w:rPr>
      </w:pPr>
    </w:p>
    <w:p w14:paraId="11F8E504" w14:textId="77777777" w:rsidR="004C25E0" w:rsidRDefault="004C25E0" w:rsidP="004C25E0">
      <w:pPr>
        <w:pBdr>
          <w:top w:val="nil"/>
          <w:left w:val="nil"/>
          <w:bottom w:val="nil"/>
          <w:right w:val="nil"/>
          <w:between w:val="nil"/>
        </w:pBdr>
        <w:spacing w:after="0" w:line="240" w:lineRule="auto"/>
        <w:ind w:left="360"/>
        <w:rPr>
          <w:rFonts w:eastAsia="Manrope" w:cstheme="minorHAnsi"/>
          <w:color w:val="000000"/>
          <w:sz w:val="24"/>
          <w:szCs w:val="24"/>
        </w:rPr>
      </w:pPr>
    </w:p>
    <w:p w14:paraId="74860215" w14:textId="77777777" w:rsidR="004C25E0" w:rsidRDefault="004C25E0" w:rsidP="004C25E0">
      <w:pPr>
        <w:pBdr>
          <w:top w:val="nil"/>
          <w:left w:val="nil"/>
          <w:bottom w:val="nil"/>
          <w:right w:val="nil"/>
          <w:between w:val="nil"/>
        </w:pBdr>
        <w:spacing w:after="0" w:line="240" w:lineRule="auto"/>
        <w:ind w:left="360"/>
        <w:rPr>
          <w:rFonts w:eastAsia="Manrope" w:cstheme="minorHAnsi"/>
          <w:color w:val="000000"/>
          <w:sz w:val="24"/>
          <w:szCs w:val="24"/>
        </w:rPr>
      </w:pPr>
      <w:r>
        <w:rPr>
          <w:rFonts w:eastAsia="Manrope" w:cstheme="minorHAnsi"/>
          <w:color w:val="000000"/>
          <w:sz w:val="24"/>
          <w:szCs w:val="24"/>
        </w:rPr>
        <w:lastRenderedPageBreak/>
        <w:t>Pour plus de précisions :</w:t>
      </w:r>
    </w:p>
    <w:p w14:paraId="540AC3E2" w14:textId="77777777" w:rsidR="004C25E0" w:rsidRPr="00A716D9" w:rsidRDefault="004C25E0" w:rsidP="004C25E0">
      <w:pPr>
        <w:pBdr>
          <w:top w:val="nil"/>
          <w:left w:val="nil"/>
          <w:bottom w:val="nil"/>
          <w:right w:val="nil"/>
          <w:between w:val="nil"/>
        </w:pBdr>
        <w:spacing w:after="0" w:line="240" w:lineRule="auto"/>
        <w:ind w:left="360"/>
        <w:rPr>
          <w:rFonts w:eastAsia="Manrope" w:cstheme="minorHAns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3098"/>
        <w:gridCol w:w="3098"/>
      </w:tblGrid>
      <w:tr w:rsidR="004C25E0" w14:paraId="5D63F376" w14:textId="77777777" w:rsidTr="00E6121C">
        <w:trPr>
          <w:trHeight w:val="208"/>
        </w:trPr>
        <w:tc>
          <w:tcPr>
            <w:tcW w:w="3098" w:type="dxa"/>
          </w:tcPr>
          <w:p w14:paraId="3C099071" w14:textId="77777777" w:rsidR="004C25E0" w:rsidRDefault="004C25E0" w:rsidP="00E6121C">
            <w:pPr>
              <w:pStyle w:val="Default"/>
              <w:jc w:val="center"/>
              <w:rPr>
                <w:b/>
                <w:bCs/>
                <w:sz w:val="20"/>
                <w:szCs w:val="20"/>
              </w:rPr>
            </w:pPr>
          </w:p>
          <w:p w14:paraId="55F702A3" w14:textId="77777777" w:rsidR="004C25E0" w:rsidRDefault="004C25E0" w:rsidP="00E6121C">
            <w:pPr>
              <w:pStyle w:val="Default"/>
              <w:jc w:val="center"/>
              <w:rPr>
                <w:b/>
                <w:bCs/>
                <w:sz w:val="20"/>
                <w:szCs w:val="20"/>
              </w:rPr>
            </w:pPr>
            <w:r>
              <w:rPr>
                <w:b/>
                <w:bCs/>
                <w:sz w:val="20"/>
                <w:szCs w:val="20"/>
              </w:rPr>
              <w:t>Ce qui constitue généralement une situation de harcèlement</w:t>
            </w:r>
          </w:p>
          <w:p w14:paraId="002CFAEA" w14:textId="77777777" w:rsidR="004C25E0" w:rsidRDefault="004C25E0" w:rsidP="00E6121C">
            <w:pPr>
              <w:pStyle w:val="Default"/>
              <w:jc w:val="center"/>
              <w:rPr>
                <w:sz w:val="20"/>
                <w:szCs w:val="20"/>
              </w:rPr>
            </w:pPr>
          </w:p>
        </w:tc>
        <w:tc>
          <w:tcPr>
            <w:tcW w:w="3098" w:type="dxa"/>
          </w:tcPr>
          <w:p w14:paraId="58A2925C" w14:textId="77777777" w:rsidR="004C25E0" w:rsidRDefault="004C25E0" w:rsidP="00E6121C">
            <w:pPr>
              <w:pStyle w:val="Default"/>
              <w:jc w:val="center"/>
              <w:rPr>
                <w:b/>
                <w:bCs/>
                <w:sz w:val="20"/>
                <w:szCs w:val="20"/>
              </w:rPr>
            </w:pPr>
          </w:p>
          <w:p w14:paraId="6FD5CBD5" w14:textId="77777777" w:rsidR="004C25E0" w:rsidRDefault="004C25E0" w:rsidP="00E6121C">
            <w:pPr>
              <w:pStyle w:val="Default"/>
              <w:jc w:val="center"/>
              <w:rPr>
                <w:sz w:val="20"/>
                <w:szCs w:val="20"/>
              </w:rPr>
            </w:pPr>
            <w:r>
              <w:rPr>
                <w:b/>
                <w:bCs/>
                <w:sz w:val="20"/>
                <w:szCs w:val="20"/>
              </w:rPr>
              <w:t>Ce qui pourrait constituer une situation de harcèlement</w:t>
            </w:r>
          </w:p>
        </w:tc>
        <w:tc>
          <w:tcPr>
            <w:tcW w:w="3098" w:type="dxa"/>
          </w:tcPr>
          <w:p w14:paraId="77F98EA1" w14:textId="77777777" w:rsidR="004C25E0" w:rsidRDefault="004C25E0" w:rsidP="00E6121C">
            <w:pPr>
              <w:pStyle w:val="Default"/>
              <w:jc w:val="center"/>
              <w:rPr>
                <w:b/>
                <w:bCs/>
                <w:sz w:val="20"/>
                <w:szCs w:val="20"/>
              </w:rPr>
            </w:pPr>
          </w:p>
          <w:p w14:paraId="3BE1B831" w14:textId="77777777" w:rsidR="004C25E0" w:rsidRDefault="004C25E0" w:rsidP="00E6121C">
            <w:pPr>
              <w:pStyle w:val="Default"/>
              <w:jc w:val="center"/>
              <w:rPr>
                <w:sz w:val="20"/>
                <w:szCs w:val="20"/>
              </w:rPr>
            </w:pPr>
            <w:r>
              <w:rPr>
                <w:b/>
                <w:bCs/>
                <w:sz w:val="20"/>
                <w:szCs w:val="20"/>
              </w:rPr>
              <w:t>Ce qui ne constitue pas une situation de harcèlement</w:t>
            </w:r>
          </w:p>
        </w:tc>
      </w:tr>
      <w:tr w:rsidR="004C25E0" w14:paraId="6BD1AF8D" w14:textId="77777777" w:rsidTr="00E6121C">
        <w:trPr>
          <w:trHeight w:val="2284"/>
        </w:trPr>
        <w:tc>
          <w:tcPr>
            <w:tcW w:w="3098" w:type="dxa"/>
          </w:tcPr>
          <w:p w14:paraId="5E7FD087" w14:textId="77777777" w:rsidR="004C25E0" w:rsidRDefault="004C25E0" w:rsidP="00E6121C">
            <w:pPr>
              <w:pStyle w:val="Default"/>
              <w:rPr>
                <w:color w:val="auto"/>
              </w:rPr>
            </w:pPr>
          </w:p>
          <w:p w14:paraId="686FC300" w14:textId="77777777" w:rsidR="004C25E0" w:rsidRDefault="004C25E0" w:rsidP="00E6121C">
            <w:pPr>
              <w:pStyle w:val="Default"/>
              <w:rPr>
                <w:sz w:val="20"/>
                <w:szCs w:val="20"/>
              </w:rPr>
            </w:pPr>
            <w:r>
              <w:rPr>
                <w:sz w:val="20"/>
                <w:szCs w:val="20"/>
              </w:rPr>
              <w:t xml:space="preserve">Commentaires </w:t>
            </w:r>
            <w:r>
              <w:rPr>
                <w:i/>
                <w:iCs/>
                <w:sz w:val="20"/>
                <w:szCs w:val="20"/>
              </w:rPr>
              <w:t xml:space="preserve">graves </w:t>
            </w:r>
            <w:r>
              <w:rPr>
                <w:sz w:val="20"/>
                <w:szCs w:val="20"/>
              </w:rPr>
              <w:t xml:space="preserve">ou </w:t>
            </w:r>
            <w:r>
              <w:rPr>
                <w:i/>
                <w:iCs/>
                <w:sz w:val="20"/>
                <w:szCs w:val="20"/>
              </w:rPr>
              <w:t xml:space="preserve">répétés </w:t>
            </w:r>
            <w:r>
              <w:rPr>
                <w:sz w:val="20"/>
                <w:szCs w:val="20"/>
              </w:rPr>
              <w:t xml:space="preserve">qui sont impolis, humiliants ou offensants tels que des blagues relatives aux caractéristiques physiques ou à l'apparence d'une personne, des propos abaissants ou des insultes. </w:t>
            </w:r>
          </w:p>
          <w:p w14:paraId="2298CFC9" w14:textId="77777777" w:rsidR="004C25E0" w:rsidRDefault="004C25E0" w:rsidP="00E6121C">
            <w:pPr>
              <w:pStyle w:val="Default"/>
              <w:rPr>
                <w:sz w:val="20"/>
                <w:szCs w:val="20"/>
              </w:rPr>
            </w:pPr>
            <w:r>
              <w:rPr>
                <w:sz w:val="20"/>
                <w:szCs w:val="20"/>
              </w:rPr>
              <w:t xml:space="preserve">Affichage de photos ou d'affiches de nature sexiste, raciste ou offensante, ou encore envoi de courriels liés à un des onze motifs interdits par la </w:t>
            </w:r>
            <w:r>
              <w:rPr>
                <w:i/>
                <w:iCs/>
                <w:sz w:val="20"/>
                <w:szCs w:val="20"/>
              </w:rPr>
              <w:t>Loi canadienne sur les droits de la personne</w:t>
            </w:r>
            <w:r>
              <w:rPr>
                <w:sz w:val="20"/>
                <w:szCs w:val="20"/>
              </w:rPr>
              <w:t xml:space="preserve">. </w:t>
            </w:r>
          </w:p>
          <w:p w14:paraId="5B68245D" w14:textId="77777777" w:rsidR="004C25E0" w:rsidRDefault="004C25E0" w:rsidP="00E6121C">
            <w:pPr>
              <w:pStyle w:val="Default"/>
              <w:rPr>
                <w:sz w:val="20"/>
                <w:szCs w:val="20"/>
              </w:rPr>
            </w:pPr>
          </w:p>
        </w:tc>
        <w:tc>
          <w:tcPr>
            <w:tcW w:w="3098" w:type="dxa"/>
          </w:tcPr>
          <w:p w14:paraId="4547F587" w14:textId="77777777" w:rsidR="004C25E0" w:rsidRDefault="004C25E0" w:rsidP="00E6121C">
            <w:pPr>
              <w:pStyle w:val="Default"/>
              <w:rPr>
                <w:color w:val="auto"/>
              </w:rPr>
            </w:pPr>
          </w:p>
          <w:p w14:paraId="74A30B8A" w14:textId="77777777" w:rsidR="004C25E0" w:rsidRDefault="004C25E0" w:rsidP="00E6121C">
            <w:pPr>
              <w:pStyle w:val="Default"/>
              <w:rPr>
                <w:sz w:val="20"/>
                <w:szCs w:val="20"/>
              </w:rPr>
            </w:pPr>
            <w:r>
              <w:rPr>
                <w:sz w:val="20"/>
                <w:szCs w:val="20"/>
              </w:rPr>
              <w:t xml:space="preserve">Critiquer un collaborateur ou une collaboratrice en public. </w:t>
            </w:r>
          </w:p>
          <w:p w14:paraId="2DFEA29F" w14:textId="77777777" w:rsidR="004C25E0" w:rsidRDefault="004C25E0" w:rsidP="00E6121C">
            <w:pPr>
              <w:pStyle w:val="Default"/>
              <w:rPr>
                <w:sz w:val="20"/>
                <w:szCs w:val="20"/>
              </w:rPr>
            </w:pPr>
            <w:r>
              <w:rPr>
                <w:sz w:val="20"/>
                <w:szCs w:val="20"/>
              </w:rPr>
              <w:t xml:space="preserve">Répondre de manière sarcastique aux questions d’un ou </w:t>
            </w:r>
            <w:proofErr w:type="gramStart"/>
            <w:r>
              <w:rPr>
                <w:sz w:val="20"/>
                <w:szCs w:val="20"/>
              </w:rPr>
              <w:t xml:space="preserve">d’une </w:t>
            </w:r>
            <w:proofErr w:type="spellStart"/>
            <w:r>
              <w:rPr>
                <w:sz w:val="20"/>
                <w:szCs w:val="20"/>
              </w:rPr>
              <w:t>employé</w:t>
            </w:r>
            <w:proofErr w:type="gramEnd"/>
            <w:r>
              <w:rPr>
                <w:sz w:val="20"/>
                <w:szCs w:val="20"/>
              </w:rPr>
              <w:t>·e</w:t>
            </w:r>
            <w:proofErr w:type="spellEnd"/>
            <w:r>
              <w:rPr>
                <w:sz w:val="20"/>
                <w:szCs w:val="20"/>
              </w:rPr>
              <w:t xml:space="preserve"> à plusieurs reprises, en public ou en privé. </w:t>
            </w:r>
          </w:p>
          <w:p w14:paraId="1CB18069" w14:textId="77777777" w:rsidR="004C25E0" w:rsidRDefault="004C25E0" w:rsidP="00E6121C">
            <w:pPr>
              <w:pStyle w:val="Default"/>
              <w:rPr>
                <w:sz w:val="20"/>
                <w:szCs w:val="20"/>
              </w:rPr>
            </w:pPr>
          </w:p>
        </w:tc>
        <w:tc>
          <w:tcPr>
            <w:tcW w:w="3098" w:type="dxa"/>
          </w:tcPr>
          <w:p w14:paraId="6097FD08" w14:textId="77777777" w:rsidR="004C25E0" w:rsidRDefault="004C25E0" w:rsidP="00E6121C">
            <w:pPr>
              <w:pStyle w:val="Default"/>
              <w:rPr>
                <w:color w:val="auto"/>
              </w:rPr>
            </w:pPr>
          </w:p>
          <w:p w14:paraId="41D30149" w14:textId="77777777" w:rsidR="004C25E0" w:rsidRPr="007F6881" w:rsidRDefault="004C25E0" w:rsidP="00E6121C">
            <w:pPr>
              <w:pStyle w:val="Default"/>
              <w:rPr>
                <w:sz w:val="20"/>
                <w:szCs w:val="20"/>
              </w:rPr>
            </w:pPr>
            <w:r w:rsidRPr="007F6881">
              <w:rPr>
                <w:sz w:val="20"/>
                <w:szCs w:val="20"/>
              </w:rPr>
              <w:t>A</w:t>
            </w:r>
            <w:r>
              <w:rPr>
                <w:sz w:val="20"/>
                <w:szCs w:val="20"/>
              </w:rPr>
              <w:t>ttribution des tâches ou organisation du travail</w:t>
            </w:r>
            <w:r w:rsidRPr="007F6881">
              <w:rPr>
                <w:sz w:val="20"/>
                <w:szCs w:val="20"/>
              </w:rPr>
              <w:t>.</w:t>
            </w:r>
          </w:p>
          <w:p w14:paraId="56E51E24" w14:textId="77777777" w:rsidR="004C25E0" w:rsidRDefault="004C25E0" w:rsidP="00E6121C">
            <w:pPr>
              <w:pStyle w:val="Default"/>
              <w:rPr>
                <w:sz w:val="20"/>
                <w:szCs w:val="20"/>
              </w:rPr>
            </w:pPr>
            <w:r>
              <w:rPr>
                <w:sz w:val="20"/>
                <w:szCs w:val="20"/>
              </w:rPr>
              <w:t xml:space="preserve">Suivi lié à des absences du travail. </w:t>
            </w:r>
          </w:p>
          <w:p w14:paraId="2EC23601" w14:textId="77777777" w:rsidR="004C25E0" w:rsidRDefault="004C25E0" w:rsidP="00E6121C">
            <w:pPr>
              <w:pStyle w:val="Default"/>
              <w:rPr>
                <w:sz w:val="20"/>
                <w:szCs w:val="20"/>
              </w:rPr>
            </w:pPr>
            <w:r>
              <w:rPr>
                <w:sz w:val="20"/>
                <w:szCs w:val="20"/>
              </w:rPr>
              <w:t xml:space="preserve">Exigences relatives à l'exécution du travail selon les normes. </w:t>
            </w:r>
          </w:p>
          <w:p w14:paraId="6B9E7F8E" w14:textId="77777777" w:rsidR="004C25E0" w:rsidRDefault="004C25E0" w:rsidP="00E6121C">
            <w:pPr>
              <w:pStyle w:val="Default"/>
              <w:rPr>
                <w:sz w:val="20"/>
                <w:szCs w:val="20"/>
              </w:rPr>
            </w:pPr>
            <w:r>
              <w:rPr>
                <w:sz w:val="20"/>
                <w:szCs w:val="20"/>
              </w:rPr>
              <w:t xml:space="preserve">Prise de mesures disciplinaires. </w:t>
            </w:r>
          </w:p>
          <w:p w14:paraId="3A905775" w14:textId="77777777" w:rsidR="004C25E0" w:rsidRDefault="004C25E0" w:rsidP="00E6121C">
            <w:pPr>
              <w:pStyle w:val="Default"/>
              <w:rPr>
                <w:sz w:val="20"/>
                <w:szCs w:val="20"/>
              </w:rPr>
            </w:pPr>
            <w:r>
              <w:rPr>
                <w:sz w:val="20"/>
                <w:szCs w:val="20"/>
              </w:rPr>
              <w:t xml:space="preserve">Incident </w:t>
            </w:r>
            <w:r>
              <w:rPr>
                <w:i/>
                <w:iCs/>
                <w:sz w:val="20"/>
                <w:szCs w:val="20"/>
              </w:rPr>
              <w:t xml:space="preserve">unique ou isolé </w:t>
            </w:r>
            <w:r>
              <w:rPr>
                <w:sz w:val="20"/>
                <w:szCs w:val="20"/>
              </w:rPr>
              <w:t xml:space="preserve">tel qu'un commentaire inapproprié ou un comportement brusque. </w:t>
            </w:r>
          </w:p>
          <w:p w14:paraId="4E77FA7F" w14:textId="77777777" w:rsidR="004C25E0" w:rsidRDefault="004C25E0" w:rsidP="00E6121C">
            <w:pPr>
              <w:pStyle w:val="Default"/>
              <w:rPr>
                <w:sz w:val="20"/>
                <w:szCs w:val="20"/>
              </w:rPr>
            </w:pPr>
          </w:p>
        </w:tc>
      </w:tr>
      <w:tr w:rsidR="004C25E0" w14:paraId="22038077" w14:textId="77777777" w:rsidTr="00E6121C">
        <w:trPr>
          <w:trHeight w:val="783"/>
        </w:trPr>
        <w:tc>
          <w:tcPr>
            <w:tcW w:w="3098" w:type="dxa"/>
          </w:tcPr>
          <w:p w14:paraId="6648B71F" w14:textId="77777777" w:rsidR="004C25E0" w:rsidRDefault="004C25E0" w:rsidP="00E6121C">
            <w:pPr>
              <w:pStyle w:val="Default"/>
              <w:rPr>
                <w:color w:val="auto"/>
              </w:rPr>
            </w:pPr>
          </w:p>
          <w:p w14:paraId="0EA606B1" w14:textId="77777777" w:rsidR="004C25E0" w:rsidRDefault="004C25E0" w:rsidP="00E6121C">
            <w:pPr>
              <w:pStyle w:val="Default"/>
              <w:rPr>
                <w:sz w:val="20"/>
                <w:szCs w:val="20"/>
              </w:rPr>
            </w:pPr>
            <w:r>
              <w:rPr>
                <w:i/>
                <w:iCs/>
                <w:sz w:val="20"/>
                <w:szCs w:val="20"/>
              </w:rPr>
              <w:t xml:space="preserve">Constamment </w:t>
            </w:r>
            <w:r>
              <w:rPr>
                <w:sz w:val="20"/>
                <w:szCs w:val="20"/>
              </w:rPr>
              <w:t xml:space="preserve">prendre à partie un collaborateur ou une collaboratrice pour des tâches insignifiantes ou insalubres qui ne font pas partie de ses tâches normales. </w:t>
            </w:r>
          </w:p>
          <w:p w14:paraId="125B7365" w14:textId="77777777" w:rsidR="004C25E0" w:rsidRDefault="004C25E0" w:rsidP="00E6121C">
            <w:pPr>
              <w:pStyle w:val="Default"/>
              <w:rPr>
                <w:sz w:val="20"/>
                <w:szCs w:val="20"/>
              </w:rPr>
            </w:pPr>
          </w:p>
        </w:tc>
        <w:tc>
          <w:tcPr>
            <w:tcW w:w="3098" w:type="dxa"/>
          </w:tcPr>
          <w:p w14:paraId="59669AEB" w14:textId="77777777" w:rsidR="004C25E0" w:rsidRDefault="004C25E0" w:rsidP="00E6121C">
            <w:pPr>
              <w:pStyle w:val="Default"/>
              <w:rPr>
                <w:color w:val="auto"/>
              </w:rPr>
            </w:pPr>
          </w:p>
          <w:p w14:paraId="5052102C" w14:textId="77777777" w:rsidR="004C25E0" w:rsidRDefault="004C25E0" w:rsidP="00E6121C">
            <w:pPr>
              <w:pStyle w:val="Default"/>
              <w:rPr>
                <w:sz w:val="20"/>
                <w:szCs w:val="20"/>
              </w:rPr>
            </w:pPr>
            <w:r>
              <w:rPr>
                <w:sz w:val="20"/>
                <w:szCs w:val="20"/>
              </w:rPr>
              <w:t xml:space="preserve">Exclusion d'activités ou d'affectations de groupe. </w:t>
            </w:r>
          </w:p>
          <w:p w14:paraId="774349EA" w14:textId="77777777" w:rsidR="004C25E0" w:rsidRDefault="004C25E0" w:rsidP="00E6121C">
            <w:pPr>
              <w:pStyle w:val="Default"/>
              <w:rPr>
                <w:sz w:val="20"/>
                <w:szCs w:val="20"/>
              </w:rPr>
            </w:pPr>
          </w:p>
        </w:tc>
        <w:tc>
          <w:tcPr>
            <w:tcW w:w="3098" w:type="dxa"/>
          </w:tcPr>
          <w:p w14:paraId="6B777F5B" w14:textId="77777777" w:rsidR="004C25E0" w:rsidRDefault="004C25E0" w:rsidP="00E6121C">
            <w:pPr>
              <w:pStyle w:val="Default"/>
              <w:rPr>
                <w:color w:val="auto"/>
              </w:rPr>
            </w:pPr>
          </w:p>
          <w:p w14:paraId="625DAEE2" w14:textId="77777777" w:rsidR="004C25E0" w:rsidRDefault="004C25E0" w:rsidP="00E6121C">
            <w:pPr>
              <w:pStyle w:val="Default"/>
              <w:rPr>
                <w:sz w:val="20"/>
                <w:szCs w:val="20"/>
              </w:rPr>
            </w:pPr>
            <w:r>
              <w:rPr>
                <w:sz w:val="20"/>
                <w:szCs w:val="20"/>
              </w:rPr>
              <w:t xml:space="preserve">Exclusion de personnes d'une tâche particulière en raison d'exigences opérationnelles particulières nécessaires à l'exécution sécuritaire et efficace du travail. </w:t>
            </w:r>
          </w:p>
          <w:p w14:paraId="3F0AF270" w14:textId="77777777" w:rsidR="004C25E0" w:rsidRDefault="004C25E0" w:rsidP="00E6121C">
            <w:pPr>
              <w:pStyle w:val="Default"/>
              <w:rPr>
                <w:sz w:val="20"/>
                <w:szCs w:val="20"/>
              </w:rPr>
            </w:pPr>
          </w:p>
        </w:tc>
      </w:tr>
      <w:tr w:rsidR="004C25E0" w14:paraId="78591937" w14:textId="77777777" w:rsidTr="00E6121C">
        <w:trPr>
          <w:trHeight w:val="1012"/>
        </w:trPr>
        <w:tc>
          <w:tcPr>
            <w:tcW w:w="3098" w:type="dxa"/>
          </w:tcPr>
          <w:p w14:paraId="7B641D88" w14:textId="77777777" w:rsidR="004C25E0" w:rsidRDefault="004C25E0" w:rsidP="00E6121C">
            <w:pPr>
              <w:pStyle w:val="Default"/>
              <w:rPr>
                <w:color w:val="auto"/>
              </w:rPr>
            </w:pPr>
          </w:p>
          <w:p w14:paraId="4ACDF579" w14:textId="77777777" w:rsidR="004C25E0" w:rsidRDefault="004C25E0" w:rsidP="00E6121C">
            <w:pPr>
              <w:pStyle w:val="Default"/>
              <w:rPr>
                <w:sz w:val="20"/>
                <w:szCs w:val="20"/>
              </w:rPr>
            </w:pPr>
            <w:r>
              <w:rPr>
                <w:sz w:val="20"/>
                <w:szCs w:val="20"/>
              </w:rPr>
              <w:t xml:space="preserve">Menaces, intimidation ou représailles notamment contre un collaborateur ou une collaboratrice qui s'est dit </w:t>
            </w:r>
            <w:proofErr w:type="spellStart"/>
            <w:r>
              <w:rPr>
                <w:sz w:val="20"/>
                <w:szCs w:val="20"/>
              </w:rPr>
              <w:t>préoccupé·e</w:t>
            </w:r>
            <w:proofErr w:type="spellEnd"/>
            <w:r>
              <w:rPr>
                <w:sz w:val="20"/>
                <w:szCs w:val="20"/>
              </w:rPr>
              <w:t xml:space="preserve"> par certains comportements en milieu de travail perçus comme étant contraires à l'éthique ou illicites. </w:t>
            </w:r>
          </w:p>
          <w:p w14:paraId="5A4F0197" w14:textId="77777777" w:rsidR="004C25E0" w:rsidRDefault="004C25E0" w:rsidP="00E6121C">
            <w:pPr>
              <w:pStyle w:val="Default"/>
              <w:rPr>
                <w:sz w:val="20"/>
                <w:szCs w:val="20"/>
              </w:rPr>
            </w:pPr>
          </w:p>
        </w:tc>
        <w:tc>
          <w:tcPr>
            <w:tcW w:w="3098" w:type="dxa"/>
          </w:tcPr>
          <w:p w14:paraId="23FCE782" w14:textId="77777777" w:rsidR="004C25E0" w:rsidRDefault="004C25E0" w:rsidP="00E6121C">
            <w:pPr>
              <w:pStyle w:val="Default"/>
              <w:rPr>
                <w:color w:val="auto"/>
              </w:rPr>
            </w:pPr>
          </w:p>
          <w:p w14:paraId="384A1E0D" w14:textId="77777777" w:rsidR="004C25E0" w:rsidRDefault="004C25E0" w:rsidP="00E6121C">
            <w:pPr>
              <w:pStyle w:val="Default"/>
              <w:rPr>
                <w:sz w:val="20"/>
                <w:szCs w:val="20"/>
              </w:rPr>
            </w:pPr>
            <w:r>
              <w:rPr>
                <w:sz w:val="20"/>
                <w:szCs w:val="20"/>
              </w:rPr>
              <w:t xml:space="preserve">Déclarations qui nuisent à la réputation d'une personne. </w:t>
            </w:r>
          </w:p>
          <w:p w14:paraId="0E6F9891" w14:textId="77777777" w:rsidR="004C25E0" w:rsidRDefault="004C25E0" w:rsidP="00E6121C">
            <w:pPr>
              <w:pStyle w:val="Default"/>
              <w:rPr>
                <w:sz w:val="20"/>
                <w:szCs w:val="20"/>
              </w:rPr>
            </w:pPr>
          </w:p>
        </w:tc>
        <w:tc>
          <w:tcPr>
            <w:tcW w:w="3098" w:type="dxa"/>
          </w:tcPr>
          <w:p w14:paraId="6A3C9CDC" w14:textId="77777777" w:rsidR="004C25E0" w:rsidRDefault="004C25E0" w:rsidP="00E6121C">
            <w:pPr>
              <w:pStyle w:val="Default"/>
              <w:rPr>
                <w:color w:val="auto"/>
              </w:rPr>
            </w:pPr>
          </w:p>
          <w:p w14:paraId="325A87E1" w14:textId="77777777" w:rsidR="004C25E0" w:rsidRDefault="004C25E0" w:rsidP="00E6121C">
            <w:pPr>
              <w:pStyle w:val="Default"/>
              <w:rPr>
                <w:sz w:val="20"/>
                <w:szCs w:val="20"/>
              </w:rPr>
            </w:pPr>
            <w:r>
              <w:rPr>
                <w:sz w:val="20"/>
                <w:szCs w:val="20"/>
              </w:rPr>
              <w:t xml:space="preserve">Prise de mesures contre une personne qui ne fait pas bien son travail. </w:t>
            </w:r>
          </w:p>
          <w:p w14:paraId="561B820D" w14:textId="77777777" w:rsidR="004C25E0" w:rsidRDefault="004C25E0" w:rsidP="00E6121C">
            <w:pPr>
              <w:pStyle w:val="Default"/>
              <w:rPr>
                <w:sz w:val="20"/>
                <w:szCs w:val="20"/>
              </w:rPr>
            </w:pPr>
          </w:p>
        </w:tc>
      </w:tr>
      <w:tr w:rsidR="004C25E0" w14:paraId="5A86C30C" w14:textId="77777777" w:rsidTr="00E6121C">
        <w:trPr>
          <w:trHeight w:val="904"/>
        </w:trPr>
        <w:tc>
          <w:tcPr>
            <w:tcW w:w="3098" w:type="dxa"/>
          </w:tcPr>
          <w:p w14:paraId="0D2953C9" w14:textId="77777777" w:rsidR="004C25E0" w:rsidRDefault="004C25E0" w:rsidP="00E6121C">
            <w:pPr>
              <w:pStyle w:val="Default"/>
              <w:rPr>
                <w:color w:val="auto"/>
              </w:rPr>
            </w:pPr>
          </w:p>
          <w:p w14:paraId="058002CA" w14:textId="77777777" w:rsidR="004C25E0" w:rsidRDefault="004C25E0" w:rsidP="00E6121C">
            <w:pPr>
              <w:pStyle w:val="Default"/>
              <w:rPr>
                <w:sz w:val="20"/>
                <w:szCs w:val="20"/>
              </w:rPr>
            </w:pPr>
            <w:r>
              <w:rPr>
                <w:sz w:val="20"/>
                <w:szCs w:val="20"/>
              </w:rPr>
              <w:t xml:space="preserve">Invitations sociales importunes accompagnées de sous-entendus sexuels lancées à un ou </w:t>
            </w:r>
            <w:proofErr w:type="gramStart"/>
            <w:r>
              <w:rPr>
                <w:sz w:val="20"/>
                <w:szCs w:val="20"/>
              </w:rPr>
              <w:t xml:space="preserve">une </w:t>
            </w:r>
            <w:proofErr w:type="spellStart"/>
            <w:r>
              <w:rPr>
                <w:sz w:val="20"/>
                <w:szCs w:val="20"/>
              </w:rPr>
              <w:t>subordonné</w:t>
            </w:r>
            <w:proofErr w:type="gramEnd"/>
            <w:r>
              <w:rPr>
                <w:sz w:val="20"/>
                <w:szCs w:val="20"/>
              </w:rPr>
              <w:t>·e</w:t>
            </w:r>
            <w:proofErr w:type="spellEnd"/>
            <w:r>
              <w:rPr>
                <w:sz w:val="20"/>
                <w:szCs w:val="20"/>
              </w:rPr>
              <w:t xml:space="preserve">. </w:t>
            </w:r>
          </w:p>
          <w:p w14:paraId="1AF7BEC6" w14:textId="77777777" w:rsidR="004C25E0" w:rsidRDefault="004C25E0" w:rsidP="00E6121C">
            <w:pPr>
              <w:pStyle w:val="Default"/>
              <w:rPr>
                <w:sz w:val="20"/>
                <w:szCs w:val="20"/>
              </w:rPr>
            </w:pPr>
            <w:r>
              <w:rPr>
                <w:sz w:val="20"/>
                <w:szCs w:val="20"/>
              </w:rPr>
              <w:t xml:space="preserve">Avances sexuelles importunes. </w:t>
            </w:r>
          </w:p>
          <w:p w14:paraId="2D5E7F08" w14:textId="77777777" w:rsidR="004C25E0" w:rsidRDefault="004C25E0" w:rsidP="00E6121C">
            <w:pPr>
              <w:pStyle w:val="Default"/>
              <w:rPr>
                <w:sz w:val="20"/>
                <w:szCs w:val="20"/>
              </w:rPr>
            </w:pPr>
          </w:p>
        </w:tc>
        <w:tc>
          <w:tcPr>
            <w:tcW w:w="3098" w:type="dxa"/>
          </w:tcPr>
          <w:p w14:paraId="1D3C2C3A" w14:textId="77777777" w:rsidR="004C25E0" w:rsidRDefault="004C25E0" w:rsidP="00E6121C">
            <w:pPr>
              <w:pStyle w:val="Default"/>
              <w:rPr>
                <w:color w:val="auto"/>
              </w:rPr>
            </w:pPr>
          </w:p>
          <w:p w14:paraId="28796A23" w14:textId="77777777" w:rsidR="004C25E0" w:rsidRDefault="004C25E0" w:rsidP="00E6121C">
            <w:pPr>
              <w:pStyle w:val="Default"/>
              <w:rPr>
                <w:sz w:val="20"/>
                <w:szCs w:val="20"/>
              </w:rPr>
            </w:pPr>
            <w:r>
              <w:rPr>
                <w:sz w:val="20"/>
                <w:szCs w:val="20"/>
              </w:rPr>
              <w:t xml:space="preserve">Commentaires suggestifs sur le plan sexuel. </w:t>
            </w:r>
          </w:p>
          <w:p w14:paraId="54E99BFA" w14:textId="77777777" w:rsidR="004C25E0" w:rsidRDefault="004C25E0" w:rsidP="00E6121C">
            <w:pPr>
              <w:pStyle w:val="Default"/>
              <w:rPr>
                <w:sz w:val="20"/>
                <w:szCs w:val="20"/>
              </w:rPr>
            </w:pPr>
            <w:r>
              <w:rPr>
                <w:sz w:val="20"/>
                <w:szCs w:val="20"/>
              </w:rPr>
              <w:t xml:space="preserve">Contacts physiques tels que des attouchements ou des pincements. </w:t>
            </w:r>
          </w:p>
          <w:p w14:paraId="2111A8CE" w14:textId="77777777" w:rsidR="004C25E0" w:rsidRDefault="004C25E0" w:rsidP="00E6121C">
            <w:pPr>
              <w:pStyle w:val="Default"/>
              <w:rPr>
                <w:sz w:val="20"/>
                <w:szCs w:val="20"/>
              </w:rPr>
            </w:pPr>
          </w:p>
        </w:tc>
        <w:tc>
          <w:tcPr>
            <w:tcW w:w="3098" w:type="dxa"/>
          </w:tcPr>
          <w:p w14:paraId="3D85984A" w14:textId="77777777" w:rsidR="004C25E0" w:rsidRDefault="004C25E0" w:rsidP="00E6121C">
            <w:pPr>
              <w:pStyle w:val="Default"/>
              <w:rPr>
                <w:color w:val="auto"/>
              </w:rPr>
            </w:pPr>
          </w:p>
          <w:p w14:paraId="4930243A" w14:textId="77777777" w:rsidR="004C25E0" w:rsidRDefault="004C25E0" w:rsidP="00E6121C">
            <w:pPr>
              <w:pStyle w:val="Default"/>
              <w:rPr>
                <w:sz w:val="20"/>
                <w:szCs w:val="20"/>
              </w:rPr>
            </w:pPr>
            <w:r>
              <w:rPr>
                <w:sz w:val="20"/>
                <w:szCs w:val="20"/>
              </w:rPr>
              <w:t xml:space="preserve">Relation sociale souhaitée par deux personnes. </w:t>
            </w:r>
          </w:p>
          <w:p w14:paraId="56EA9AA3" w14:textId="77777777" w:rsidR="004C25E0" w:rsidRDefault="004C25E0" w:rsidP="00E6121C">
            <w:pPr>
              <w:pStyle w:val="Default"/>
              <w:rPr>
                <w:sz w:val="20"/>
                <w:szCs w:val="20"/>
              </w:rPr>
            </w:pPr>
            <w:r>
              <w:rPr>
                <w:sz w:val="20"/>
                <w:szCs w:val="20"/>
              </w:rPr>
              <w:t xml:space="preserve">Comportements amicaux entre collègues (par exemple, tapoter quelqu'un dans le dos). </w:t>
            </w:r>
          </w:p>
          <w:p w14:paraId="013B49B1" w14:textId="77777777" w:rsidR="004C25E0" w:rsidRDefault="004C25E0" w:rsidP="00E6121C">
            <w:pPr>
              <w:pStyle w:val="Default"/>
              <w:rPr>
                <w:sz w:val="20"/>
                <w:szCs w:val="20"/>
              </w:rPr>
            </w:pPr>
          </w:p>
        </w:tc>
      </w:tr>
    </w:tbl>
    <w:p w14:paraId="3DF36E3C" w14:textId="1FC17C89" w:rsidR="004C25E0" w:rsidRPr="004C25E0" w:rsidRDefault="004C25E0">
      <w:pPr>
        <w:rPr>
          <w:rFonts w:cstheme="minorHAnsi"/>
          <w:b/>
          <w:sz w:val="32"/>
          <w:szCs w:val="32"/>
        </w:rPr>
      </w:pPr>
      <w:bookmarkStart w:id="0" w:name="_n9o8wtu48n0" w:colFirst="0" w:colLast="0"/>
      <w:bookmarkEnd w:id="0"/>
    </w:p>
    <w:sectPr w:rsidR="004C25E0" w:rsidRPr="004C2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Manrope">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56599"/>
    <w:multiLevelType w:val="multilevel"/>
    <w:tmpl w:val="FBFA4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520410"/>
    <w:multiLevelType w:val="multilevel"/>
    <w:tmpl w:val="3898A0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814ABC"/>
    <w:multiLevelType w:val="multilevel"/>
    <w:tmpl w:val="AF76E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DF43EA4"/>
    <w:multiLevelType w:val="multilevel"/>
    <w:tmpl w:val="A978CCC6"/>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E0"/>
    <w:rsid w:val="004C25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06C5FD6"/>
  <w15:chartTrackingRefBased/>
  <w15:docId w15:val="{4C1E0C7A-2B04-CD46-ADC2-B0E3964F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E0"/>
    <w:pPr>
      <w:spacing w:after="160" w:line="259" w:lineRule="auto"/>
    </w:pPr>
    <w:rPr>
      <w:sz w:val="22"/>
      <w:szCs w:val="22"/>
      <w:lang w:val="fr-CA"/>
    </w:rPr>
  </w:style>
  <w:style w:type="paragraph" w:styleId="Titre1">
    <w:name w:val="heading 1"/>
    <w:basedOn w:val="Normal"/>
    <w:next w:val="Normal"/>
    <w:link w:val="Titre1Car"/>
    <w:uiPriority w:val="9"/>
    <w:qFormat/>
    <w:rsid w:val="004C25E0"/>
    <w:pPr>
      <w:keepNext/>
      <w:keepLines/>
      <w:widowControl w:val="0"/>
      <w:spacing w:before="480" w:after="120" w:line="276" w:lineRule="auto"/>
      <w:outlineLvl w:val="0"/>
    </w:pPr>
    <w:rPr>
      <w:rFonts w:ascii="Manrope" w:eastAsia="Manrope" w:hAnsi="Manrope" w:cs="Manrope"/>
      <w:b/>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25E0"/>
    <w:rPr>
      <w:rFonts w:ascii="Manrope" w:eastAsia="Manrope" w:hAnsi="Manrope" w:cs="Manrope"/>
      <w:b/>
      <w:lang w:val="fr-CA" w:eastAsia="fr-CA"/>
    </w:rPr>
  </w:style>
  <w:style w:type="paragraph" w:customStyle="1" w:styleId="Default">
    <w:name w:val="Default"/>
    <w:rsid w:val="004C25E0"/>
    <w:pPr>
      <w:autoSpaceDE w:val="0"/>
      <w:autoSpaceDN w:val="0"/>
      <w:adjustRightInd w:val="0"/>
    </w:pPr>
    <w:rPr>
      <w:rFonts w:ascii="Arial" w:hAnsi="Arial" w:cs="Arial"/>
      <w:color w:val="00000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3431</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Couture</dc:creator>
  <cp:keywords/>
  <dc:description/>
  <cp:lastModifiedBy>Philippe Couture</cp:lastModifiedBy>
  <cp:revision>1</cp:revision>
  <dcterms:created xsi:type="dcterms:W3CDTF">2026-06-18T17:13:00Z</dcterms:created>
  <dcterms:modified xsi:type="dcterms:W3CDTF">2026-06-18T17:14:00Z</dcterms:modified>
</cp:coreProperties>
</file>